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fa0d607934b1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32588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GRADSKA KNJIŽNICA PAKRAC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62.744,10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69.669,77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50.238,20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51.712,61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12.505,90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17.957,16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7.025,09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6.363,55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7.025,09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6.363,55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5.480,81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11.593,61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211,5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Ukupno stanje obveza na kraju izvještajnog razdoblja(šifra V006) iznosi 7.274,83 €.
Stanje nedospjelih obveza na kraju izvještajnog razdoblja iznosilo je 6.799,98 €(šifra V009).
Stanje dospjelih obveza iznosi 474,85 €. Nastalo prekoračenje od 1 do 60 dana odnosi se na obveze za materijalne rashode i biti će podmireno u narednom izvještajnom razdoblju.
Iznos nedospjelih obveza  od 143,41 € odnosi se na obveze za materijalne rashode, a 6.656,57 € odnosi se na obveze za zaposlene.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proračunu i izvanproračunskim korisnicima iz drugih proračuna (šifre 6331+6332)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2146,7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ovog je povećanja došlo jer su sredstva Ministarstva kulture i medija za tekuće projekte i kapitalne investicije (nabavu knjižne građe) u prethodnoj proračunskoj godini bila knjižena na drugi konto, a u ovom proračunskom razdoblju knjižena na ovaj konto 633.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1.629,30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je došlo zbog povećanja cijene članarine za članove knjižnice.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1.629,30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je došlo zbog povećanja cijene članarine za članove knjižnice.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1.629,30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je došlo zbog povećanja cijene članarine za članove knjižnice.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32.204,54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39.111,64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je došlo zbog povećanja osnovice za obračun plaća zaposlenika.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25.427,06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30.401,41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je došlo zbog povećanja osnovice za obračun plaća zaposlenika.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25.427,06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30.401,41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je došlo zbog povećanja osnovice za obračun plaća zaposlenika.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2.582,00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3.694,00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je došlo zbog povećanja osnovice za obračun plaće djelatnika.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336,3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je došlo zbog potrebe opremanja novog prostora knjižnice sitnim inventarom.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865,07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1.175,44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je došlo zbog povećanja cijena usluge - zajedničke pričuve.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ovog rashoda odnosi se na plaćanje naknade ZANA-i vezano uz naknadu za obavljanje usluga fotokopiranja i skeniranja, a koja nije bila rashod u prethodnom obračunskom razdoblju.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660,38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je došlo zbog sklapanja novog ugovora za održavanje računalnog računovodstvenog programa, što je povećalo troškove na ovoj poziciji.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2620,1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novi rashod koji nije postojao u prošlom obračunskom razdoblju a u ovomu je knjižen na konto 3299.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474,85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 Stanje dospjelih obveza iznosi 474,85 €. Nastalo prekoračenje od 1 do 60 dana odnosi se na obveze za materijalne rashode i biti će podmireno u narednom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6.799,98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 nedospjelih obveza  od 143,41 € odnosi se na obveze za materijalne rashode, a 6.656,57 € odnosi se na obveze za zaposlene.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ffe460a72e4474" /></Relationships>
</file>